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FA1C5A">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1848FA">
              <w:rPr>
                <w:rFonts w:ascii="Arial Narrow" w:hAnsi="Arial Narrow"/>
                <w:b/>
                <w:sz w:val="26"/>
                <w:szCs w:val="26"/>
              </w:rPr>
              <w:t>ULO IDRONICO YOSHI® AWS</w:t>
            </w:r>
            <w:r w:rsidR="00FA1C5A">
              <w:rPr>
                <w:rFonts w:ascii="Arial Narrow" w:hAnsi="Arial Narrow"/>
                <w:b/>
                <w:sz w:val="26"/>
                <w:szCs w:val="26"/>
              </w:rPr>
              <w:t>8</w:t>
            </w:r>
            <w:r>
              <w:rPr>
                <w:rFonts w:ascii="Arial Narrow" w:hAnsi="Arial Narrow"/>
                <w:b/>
                <w:sz w:val="26"/>
                <w:szCs w:val="26"/>
              </w:rPr>
              <w:t>HP – E1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B97777">
            <w:pPr>
              <w:spacing w:before="120" w:after="120" w:line="240" w:lineRule="auto"/>
              <w:jc w:val="center"/>
              <w:rPr>
                <w:rFonts w:ascii="Arial Narrow" w:hAnsi="Arial Narrow"/>
                <w:b/>
              </w:rPr>
            </w:pPr>
            <w:r w:rsidRPr="001376DD">
              <w:rPr>
                <w:rFonts w:ascii="Arial Narrow" w:hAnsi="Arial Narrow"/>
                <w:b/>
              </w:rPr>
              <w:t>AWS</w:t>
            </w:r>
            <w:r w:rsidR="00B97777">
              <w:rPr>
                <w:rFonts w:ascii="Arial Narrow" w:hAnsi="Arial Narrow"/>
                <w:b/>
              </w:rPr>
              <w:t>8</w:t>
            </w:r>
            <w:r w:rsidRPr="001376DD">
              <w:rPr>
                <w:rFonts w:ascii="Arial Narrow" w:hAnsi="Arial Narrow"/>
                <w:b/>
              </w:rPr>
              <w:t>HP-E1</w:t>
            </w:r>
            <w:r w:rsidR="00610670">
              <w:rPr>
                <w:rFonts w:ascii="Arial Narrow" w:hAnsi="Arial Narrow"/>
                <w:b/>
              </w:rPr>
              <w:t>J</w:t>
            </w:r>
            <w:bookmarkStart w:id="0" w:name="_GoBack"/>
            <w:bookmarkEnd w:id="0"/>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B35A58"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610670">
              <w:rPr>
                <w:rFonts w:ascii="Arial Narrow" w:hAnsi="Arial Narrow"/>
              </w:rPr>
              <w:t>idronico</w:t>
            </w:r>
            <w:proofErr w:type="spellEnd"/>
            <w:r w:rsidRPr="00610670">
              <w:rPr>
                <w:rFonts w:ascii="Arial Narrow" w:hAnsi="Arial Narrow"/>
              </w:rPr>
              <w:t xml:space="preserve"> </w:t>
            </w:r>
            <w:r w:rsidR="00610670" w:rsidRPr="00610670">
              <w:rPr>
                <w:rFonts w:ascii="Arial Narrow" w:hAnsi="Arial Narrow"/>
              </w:rPr>
              <w:t>con</w:t>
            </w:r>
            <w:r w:rsidR="00610670">
              <w:rPr>
                <w:rFonts w:ascii="Arial Narrow" w:hAnsi="Arial Narrow"/>
                <w:b/>
                <w:u w:val="single"/>
              </w:rPr>
              <w:t xml:space="preserve"> </w:t>
            </w:r>
            <w:r w:rsidRPr="001376DD">
              <w:rPr>
                <w:rFonts w:ascii="Arial Narrow" w:hAnsi="Arial Narrow"/>
              </w:rPr>
              <w:t xml:space="preserve">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B97777">
              <w:rPr>
                <w:rFonts w:ascii="Arial Narrow" w:hAnsi="Arial Narrow"/>
              </w:rPr>
              <w:t>21</w:t>
            </w:r>
            <w:r w:rsidRPr="00D76C93">
              <w:rPr>
                <w:rFonts w:ascii="Arial Narrow" w:hAnsi="Arial Narrow"/>
              </w:rPr>
              <w:t>,</w:t>
            </w:r>
            <w:r w:rsidR="00B97777">
              <w:rPr>
                <w:rFonts w:ascii="Arial Narrow" w:hAnsi="Arial Narrow"/>
              </w:rPr>
              <w:t>0</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B97777">
              <w:rPr>
                <w:rFonts w:ascii="Arial Narrow" w:hAnsi="Arial Narrow"/>
              </w:rPr>
              <w:t>23,5</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00B97777">
              <w:rPr>
                <w:rFonts w:ascii="Arial Narrow" w:hAnsi="Arial Narrow"/>
              </w:rPr>
              <w:tab/>
              <w:t>8,0</w:t>
            </w:r>
            <w:r w:rsidRPr="00C11E3E">
              <w:rPr>
                <w:rFonts w:ascii="Arial Narrow" w:hAnsi="Arial Narrow"/>
              </w:rPr>
              <w:t xml:space="preserve"> kW</w:t>
            </w:r>
          </w:p>
          <w:p w:rsidR="00990B9D" w:rsidRPr="00D76C93" w:rsidRDefault="00990B9D" w:rsidP="00990B9D">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t xml:space="preserve">40-100%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183EDC">
              <w:rPr>
                <w:rFonts w:ascii="Arial Narrow" w:hAnsi="Arial Narrow"/>
              </w:rPr>
              <w:t>15,3</w:t>
            </w:r>
            <w:r w:rsidRPr="009921B8">
              <w:rPr>
                <w:rFonts w:ascii="Arial Narrow" w:hAnsi="Arial Narrow"/>
              </w:rPr>
              <w:t xml:space="preserve"> kW – Raffreddamento</w:t>
            </w:r>
          </w:p>
          <w:p w:rsidR="002078E7" w:rsidRPr="00F5435D" w:rsidRDefault="00183EDC"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15,5</w:t>
            </w:r>
            <w:r w:rsidR="002078E7" w:rsidRPr="009921B8">
              <w:rPr>
                <w:rFonts w:ascii="Arial Narrow" w:hAnsi="Arial Narrow"/>
              </w:rPr>
              <w:t xml:space="preserve"> kW – Riscaldamento</w:t>
            </w:r>
          </w:p>
          <w:p w:rsidR="009921B8" w:rsidRPr="00D76C93" w:rsidRDefault="009921B8" w:rsidP="009921B8">
            <w:pPr>
              <w:pStyle w:val="Paragrafoelenco"/>
              <w:numPr>
                <w:ilvl w:val="0"/>
                <w:numId w:val="1"/>
              </w:numPr>
              <w:spacing w:after="0" w:line="240" w:lineRule="auto"/>
              <w:ind w:left="426"/>
              <w:jc w:val="both"/>
              <w:rPr>
                <w:rFonts w:ascii="Arial Narrow" w:hAnsi="Arial Narrow"/>
              </w:rPr>
            </w:pPr>
            <w:r>
              <w:rPr>
                <w:rFonts w:ascii="Arial Narrow" w:hAnsi="Arial Narrow"/>
              </w:rPr>
              <w:t>Unità senza p</w:t>
            </w:r>
            <w:r w:rsidRPr="00D76C93">
              <w:rPr>
                <w:rFonts w:ascii="Arial Narrow" w:hAnsi="Arial Narrow"/>
              </w:rPr>
              <w:t xml:space="preserve">ompa di circolazione </w:t>
            </w:r>
            <w:r w:rsidRPr="00D76C93">
              <w:rPr>
                <w:rFonts w:ascii="Arial Narrow" w:hAnsi="Arial Narrow"/>
              </w:rPr>
              <w:tab/>
              <w:t>Alimentazione 230 monofase</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Pr>
                <w:rFonts w:ascii="Arial Narrow" w:hAnsi="Arial Narrow"/>
              </w:rPr>
              <w:t>19</w:t>
            </w:r>
            <w:r w:rsidRPr="00D76C93">
              <w:rPr>
                <w:rFonts w:ascii="Arial Narrow" w:hAnsi="Arial Narrow"/>
              </w:rPr>
              <w:t xml:space="preserve"> kW</w:t>
            </w:r>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w:t>
            </w:r>
            <w:r>
              <w:rPr>
                <w:rFonts w:ascii="Arial Narrow" w:hAnsi="Arial Narrow"/>
              </w:rPr>
              <w:t>erdita di carico scambiatore</w:t>
            </w:r>
            <w:r w:rsidRPr="00D76C93">
              <w:rPr>
                <w:rFonts w:ascii="Arial Narrow" w:hAnsi="Arial Narrow"/>
              </w:rPr>
              <w:t xml:space="preserve"> </w:t>
            </w:r>
            <w:r w:rsidR="00183EDC">
              <w:rPr>
                <w:rFonts w:ascii="Arial Narrow" w:hAnsi="Arial Narrow"/>
              </w:rPr>
              <w:t>33</w:t>
            </w:r>
            <w:r w:rsidRPr="00D76C93">
              <w:rPr>
                <w:rFonts w:ascii="Arial Narrow" w:hAnsi="Arial Narrow"/>
              </w:rPr>
              <w:t xml:space="preserve"> </w:t>
            </w:r>
            <w:proofErr w:type="spellStart"/>
            <w:r w:rsidRPr="00D76C93">
              <w:rPr>
                <w:rFonts w:ascii="Arial Narrow" w:hAnsi="Arial Narrow"/>
              </w:rPr>
              <w:t>kPa</w:t>
            </w:r>
            <w:proofErr w:type="spellEnd"/>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Ø 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12,7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205356">
              <w:rPr>
                <w:rFonts w:ascii="Arial Narrow" w:hAnsi="Arial Narrow"/>
              </w:rPr>
              <w:t>19,1</w:t>
            </w:r>
            <w:r w:rsidRPr="00D76C93">
              <w:rPr>
                <w:rFonts w:ascii="Arial Narrow" w:hAnsi="Arial Narrow"/>
              </w:rPr>
              <w:t xml:space="preserve"> – </w:t>
            </w:r>
            <w:r w:rsidR="00205356">
              <w:rPr>
                <w:rFonts w:ascii="Arial Narrow" w:hAnsi="Arial Narrow"/>
              </w:rPr>
              <w:t>9,5</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t>164/153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AXGP</w:t>
            </w:r>
            <w:r w:rsidR="00AA2877">
              <w:rPr>
                <w:rFonts w:ascii="Arial Narrow" w:hAnsi="Arial Narrow"/>
              </w:rPr>
              <w:t>224</w:t>
            </w:r>
            <w:r w:rsidR="00FA5B3B" w:rsidRPr="009921B8">
              <w:rPr>
                <w:rFonts w:ascii="Arial Narrow" w:hAnsi="Arial Narrow"/>
              </w:rPr>
              <w:t>E1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1376DD"/>
    <w:rsid w:val="00183EDC"/>
    <w:rsid w:val="001848FA"/>
    <w:rsid w:val="001B3B97"/>
    <w:rsid w:val="00205356"/>
    <w:rsid w:val="002078E7"/>
    <w:rsid w:val="002D208F"/>
    <w:rsid w:val="002D7A9B"/>
    <w:rsid w:val="002F41A2"/>
    <w:rsid w:val="00354460"/>
    <w:rsid w:val="004559D7"/>
    <w:rsid w:val="004675C2"/>
    <w:rsid w:val="004D2F1F"/>
    <w:rsid w:val="005E7E60"/>
    <w:rsid w:val="00610670"/>
    <w:rsid w:val="006B26B9"/>
    <w:rsid w:val="006E56AC"/>
    <w:rsid w:val="00990B9D"/>
    <w:rsid w:val="009921B8"/>
    <w:rsid w:val="00994934"/>
    <w:rsid w:val="009C7C7F"/>
    <w:rsid w:val="00A153CF"/>
    <w:rsid w:val="00AA2877"/>
    <w:rsid w:val="00B04883"/>
    <w:rsid w:val="00B35A58"/>
    <w:rsid w:val="00B97777"/>
    <w:rsid w:val="00BF5F7E"/>
    <w:rsid w:val="00C11E3E"/>
    <w:rsid w:val="00D76C93"/>
    <w:rsid w:val="00E1545F"/>
    <w:rsid w:val="00F8557B"/>
    <w:rsid w:val="00F90731"/>
    <w:rsid w:val="00FA1C5A"/>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578</Words>
  <Characters>3296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2</cp:revision>
  <dcterms:created xsi:type="dcterms:W3CDTF">2019-09-03T10:01:00Z</dcterms:created>
  <dcterms:modified xsi:type="dcterms:W3CDTF">2019-09-03T10:01:00Z</dcterms:modified>
</cp:coreProperties>
</file>