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E00586">
              <w:rPr>
                <w:rFonts w:ascii="Arial Narrow" w:hAnsi="Arial Narrow"/>
                <w:b/>
              </w:rPr>
              <w:t>MP140</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E00586">
              <w:rPr>
                <w:sz w:val="20"/>
              </w:rPr>
              <w:t>14</w:t>
            </w:r>
            <w:r w:rsidR="00610C8D">
              <w:rPr>
                <w:sz w:val="20"/>
              </w:rPr>
              <w:t>,</w:t>
            </w:r>
            <w:r w:rsidR="00E00586">
              <w:rPr>
                <w:sz w:val="20"/>
              </w:rPr>
              <w:t>0</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E00586">
              <w:rPr>
                <w:sz w:val="20"/>
              </w:rPr>
              <w:t>16,0</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r w:rsidR="00BA65B1">
              <w:rPr>
                <w:sz w:val="20"/>
              </w:rPr>
              <w:t>300</w:t>
            </w:r>
            <w:r w:rsidR="00321223">
              <w:rPr>
                <w:sz w:val="20"/>
              </w:rPr>
              <w:t>x</w:t>
            </w:r>
            <w:r w:rsidR="00250F4C">
              <w:rPr>
                <w:sz w:val="20"/>
              </w:rPr>
              <w:t>1.4</w:t>
            </w:r>
            <w:r w:rsidR="00BA65B1">
              <w:rPr>
                <w:sz w:val="20"/>
              </w:rPr>
              <w:t>00</w:t>
            </w:r>
            <w:r>
              <w:rPr>
                <w:sz w:val="20"/>
              </w:rPr>
              <w:t>x</w:t>
            </w:r>
            <w:r w:rsidR="00BA65B1">
              <w:rPr>
                <w:sz w:val="20"/>
              </w:rPr>
              <w:t>700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E00586">
              <w:rPr>
                <w:sz w:val="20"/>
              </w:rPr>
              <w:t>1.6</w:t>
            </w:r>
            <w:r w:rsidR="00250F4C">
              <w:rPr>
                <w:sz w:val="20"/>
              </w:rPr>
              <w:t>8</w:t>
            </w:r>
            <w:r w:rsidR="00F76610">
              <w:rPr>
                <w:sz w:val="20"/>
              </w:rPr>
              <w:t>0</w:t>
            </w:r>
            <w:r>
              <w:rPr>
                <w:sz w:val="20"/>
              </w:rPr>
              <w:t>/</w:t>
            </w:r>
            <w:r w:rsidR="00E00586">
              <w:rPr>
                <w:sz w:val="20"/>
              </w:rPr>
              <w:t>2</w:t>
            </w:r>
            <w:r w:rsidR="00A43934">
              <w:rPr>
                <w:sz w:val="20"/>
              </w:rPr>
              <w:t>.</w:t>
            </w:r>
            <w:r w:rsidR="00E00586">
              <w:rPr>
                <w:sz w:val="20"/>
              </w:rPr>
              <w:t>34</w:t>
            </w:r>
            <w:bookmarkStart w:id="0" w:name="_GoBack"/>
            <w:bookmarkEnd w:id="0"/>
            <w:r w:rsidR="00F76610">
              <w:rPr>
                <w:sz w:val="20"/>
              </w:rPr>
              <w:t>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250F4C">
              <w:rPr>
                <w:sz w:val="20"/>
              </w:rPr>
              <w:t>4</w:t>
            </w:r>
            <w:r w:rsidR="00E00586">
              <w:rPr>
                <w:sz w:val="20"/>
              </w:rPr>
              <w:t>6</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BA65B1">
              <w:rPr>
                <w:sz w:val="20"/>
              </w:rPr>
              <w:t>Gas: 15,9</w:t>
            </w:r>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50F4C"/>
    <w:rsid w:val="0026393F"/>
    <w:rsid w:val="00294590"/>
    <w:rsid w:val="002D208F"/>
    <w:rsid w:val="002F41A2"/>
    <w:rsid w:val="00321223"/>
    <w:rsid w:val="00333B84"/>
    <w:rsid w:val="003E00CC"/>
    <w:rsid w:val="00416031"/>
    <w:rsid w:val="004559D7"/>
    <w:rsid w:val="0053698D"/>
    <w:rsid w:val="005A1CBA"/>
    <w:rsid w:val="005C1CFB"/>
    <w:rsid w:val="005E7E60"/>
    <w:rsid w:val="00610C8D"/>
    <w:rsid w:val="00634752"/>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25DA9"/>
    <w:rsid w:val="00CB5D59"/>
    <w:rsid w:val="00D94A5E"/>
    <w:rsid w:val="00E00586"/>
    <w:rsid w:val="00F757F5"/>
    <w:rsid w:val="00F76610"/>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941F81-2ECE-4971-8F64-9136AFCF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2</cp:revision>
  <dcterms:created xsi:type="dcterms:W3CDTF">2016-02-02T10:54:00Z</dcterms:created>
  <dcterms:modified xsi:type="dcterms:W3CDTF">2016-02-02T10:54:00Z</dcterms:modified>
</cp:coreProperties>
</file>