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2F48A1">
              <w:rPr>
                <w:rFonts w:ascii="Arial Narrow" w:hAnsi="Arial Narrow"/>
                <w:b/>
              </w:rPr>
              <w:t>1-N</w:t>
            </w:r>
            <w:r w:rsidR="00527CC9">
              <w:rPr>
                <w:rFonts w:ascii="Arial Narrow" w:hAnsi="Arial Narrow"/>
                <w:b/>
              </w:rPr>
              <w:t>U</w:t>
            </w:r>
            <w:r w:rsidR="00607460">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527CC9">
            <w:pPr>
              <w:pStyle w:val="Paragrafoelenco"/>
              <w:numPr>
                <w:ilvl w:val="0"/>
                <w:numId w:val="1"/>
              </w:numPr>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527CC9">
            <w:pPr>
              <w:numPr>
                <w:ilvl w:val="0"/>
                <w:numId w:val="1"/>
              </w:numPr>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527CC9">
            <w:pPr>
              <w:numPr>
                <w:ilvl w:val="0"/>
                <w:numId w:val="1"/>
              </w:numPr>
              <w:jc w:val="both"/>
              <w:rPr>
                <w:rFonts w:ascii="Arial Narrow" w:hAnsi="Arial Narrow"/>
              </w:rPr>
            </w:pPr>
            <w:r w:rsidRPr="001F394D">
              <w:rPr>
                <w:rFonts w:ascii="Arial Narrow" w:hAnsi="Arial Narrow"/>
              </w:rPr>
              <w:t xml:space="preserve">Produzione di energia frigorifera con temperature esterne comprese tra -10°C e +43°C. </w:t>
            </w:r>
          </w:p>
          <w:p w:rsidR="00FE6591" w:rsidRPr="001F394D" w:rsidRDefault="00FE6591" w:rsidP="00527CC9">
            <w:pPr>
              <w:numPr>
                <w:ilvl w:val="0"/>
                <w:numId w:val="1"/>
              </w:numPr>
              <w:jc w:val="both"/>
              <w:rPr>
                <w:rFonts w:ascii="Arial Narrow" w:hAnsi="Arial Narrow"/>
              </w:rPr>
            </w:pPr>
            <w:r w:rsidRPr="001F394D">
              <w:rPr>
                <w:rFonts w:ascii="Arial Narrow" w:hAnsi="Arial Narrow"/>
              </w:rPr>
              <w:t>Produzione di energia termica con temperature esterne comprese tra -10°C e +21°C.</w:t>
            </w:r>
          </w:p>
          <w:p w:rsidR="00FE6591" w:rsidRPr="001F394D" w:rsidRDefault="00FE6591" w:rsidP="00527CC9">
            <w:pPr>
              <w:numPr>
                <w:ilvl w:val="0"/>
                <w:numId w:val="1"/>
              </w:numPr>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1F394D" w:rsidRDefault="00FE6591" w:rsidP="00527CC9">
            <w:pPr>
              <w:pStyle w:val="Paragrafoelenco"/>
              <w:numPr>
                <w:ilvl w:val="0"/>
                <w:numId w:val="1"/>
              </w:numPr>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527CC9">
            <w:pPr>
              <w:pStyle w:val="Paragrafoelenco"/>
              <w:numPr>
                <w:ilvl w:val="0"/>
                <w:numId w:val="1"/>
              </w:numPr>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527CC9">
            <w:pPr>
              <w:pStyle w:val="Paragrafoelenco"/>
              <w:numPr>
                <w:ilvl w:val="0"/>
                <w:numId w:val="1"/>
              </w:numPr>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1F394D">
              <w:rPr>
                <w:rFonts w:ascii="Arial Narrow" w:hAnsi="Arial Narrow"/>
              </w:rPr>
              <w:lastRenderedPageBreak/>
              <w:t xml:space="preserve">Durante la prima messa in funzione, rilevamento automatico delle unità interne 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527CC9">
            <w:pPr>
              <w:numPr>
                <w:ilvl w:val="0"/>
                <w:numId w:val="1"/>
              </w:numPr>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527CC9">
            <w:pPr>
              <w:numPr>
                <w:ilvl w:val="0"/>
                <w:numId w:val="1"/>
              </w:numPr>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527CC9">
            <w:pPr>
              <w:numPr>
                <w:ilvl w:val="0"/>
                <w:numId w:val="1"/>
              </w:numPr>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527CC9">
            <w:pPr>
              <w:numPr>
                <w:ilvl w:val="0"/>
                <w:numId w:val="1"/>
              </w:numPr>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527CC9">
            <w:pPr>
              <w:numPr>
                <w:ilvl w:val="0"/>
                <w:numId w:val="1"/>
              </w:numPr>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temperature esterne comprese tra -10°C (-20°c se con “kit zone fredde”) e +21°C.</w:t>
            </w:r>
          </w:p>
          <w:p w:rsidR="00FE6591" w:rsidRPr="001F394D" w:rsidRDefault="00FE6591" w:rsidP="00527CC9">
            <w:pPr>
              <w:numPr>
                <w:ilvl w:val="0"/>
                <w:numId w:val="1"/>
              </w:numPr>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527CC9">
            <w:pPr>
              <w:numPr>
                <w:ilvl w:val="0"/>
                <w:numId w:val="1"/>
              </w:numPr>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527CC9">
            <w:pPr>
              <w:numPr>
                <w:ilvl w:val="0"/>
                <w:numId w:val="1"/>
              </w:numPr>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527CC9">
            <w:pPr>
              <w:numPr>
                <w:ilvl w:val="0"/>
                <w:numId w:val="1"/>
              </w:numPr>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607460" w:rsidRDefault="00FE6591" w:rsidP="00527CC9">
            <w:pPr>
              <w:numPr>
                <w:ilvl w:val="0"/>
                <w:numId w:val="1"/>
              </w:numPr>
              <w:jc w:val="both"/>
              <w:rPr>
                <w:rFonts w:ascii="Arial Narrow" w:hAnsi="Arial Narrow"/>
              </w:rPr>
            </w:pPr>
            <w:r w:rsidRPr="001F394D">
              <w:rPr>
                <w:rFonts w:ascii="Arial Narrow" w:hAnsi="Arial Narrow"/>
              </w:rPr>
              <w:t>Accessibilità garantita ai principali meccanismi di incentivazione.</w:t>
            </w:r>
          </w:p>
          <w:p w:rsidR="00527CC9" w:rsidRPr="00527CC9" w:rsidRDefault="00527CC9" w:rsidP="00527CC9">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1F394D" w:rsidRDefault="002F48A1" w:rsidP="00607460">
            <w:pPr>
              <w:ind w:left="66"/>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w:t>
            </w:r>
            <w:r w:rsidR="00607460">
              <w:rPr>
                <w:rFonts w:ascii="Arial Narrow" w:hAnsi="Arial Narrow"/>
              </w:rPr>
              <w:t>54</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7460">
              <w:rPr>
                <w:rFonts w:ascii="Arial Narrow" w:hAnsi="Arial Narrow"/>
              </w:rPr>
              <w:t>242</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lastRenderedPageBreak/>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7460">
              <w:rPr>
                <w:rFonts w:ascii="Arial Narrow" w:hAnsi="Arial Narrow"/>
              </w:rPr>
              <w:t xml:space="preserve">  2,53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7460">
              <w:rPr>
                <w:rFonts w:ascii="Arial Narrow" w:hAnsi="Arial Narrow"/>
              </w:rPr>
              <w:t>49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2,78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2,17</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2,36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1,89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1,81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1,64</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F48A1"/>
    <w:rsid w:val="00345364"/>
    <w:rsid w:val="003E59F8"/>
    <w:rsid w:val="00474CC7"/>
    <w:rsid w:val="004E0636"/>
    <w:rsid w:val="00527CC9"/>
    <w:rsid w:val="005E7E10"/>
    <w:rsid w:val="0060013A"/>
    <w:rsid w:val="00607460"/>
    <w:rsid w:val="006158A8"/>
    <w:rsid w:val="00720053"/>
    <w:rsid w:val="007F4754"/>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2019-10-01T16:07:00Z</dcterms:created>
  <dcterms:modified xsi:type="dcterms:W3CDTF">2019-10-01T16:07:00Z</dcterms:modified>
</cp:coreProperties>
</file>